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5A15965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>
  <w:body>
    <w:p>
      <w:pPr>
        <w:rPr>
          <w:rFonts w:ascii="Times New Roman" w:hAnsi="Times New Roman"/>
          <w:b w:val="1"/>
          <w:color w:val="000000"/>
        </w:rPr>
      </w:pPr>
    </w:p>
    <w:tbl>
      <w:tblPr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0"/>
          <w:gridBefore w:val="0"/>
          <w:trHeight w:hRule="exact" w:val="907"/>
        </w:trPr>
        <w:tc>
          <w:tcPr>
            <w:tcBorders>
              <w:bottom w:val="none" w:sz="0" w:space="0" w:shadow="0" w:frame="0" w:color="000000"/>
              <w:left w:val="none" w:sz="0" w:space="0" w:shadow="0" w:frame="0" w:color="000000"/>
              <w:right w:val="none" w:sz="0" w:space="0" w:shadow="0" w:frame="0" w:color="000000"/>
              <w:top w:val="none" w:sz="0" w:space="0" w:shadow="0" w:frame="0" w:color="000000"/>
            </w:tcBorders>
            <w:tcMar>
              <w:left w:w="108" w:type="dxa"/>
              <w:right w:w="108" w:type="dxa"/>
            </w:tcMar>
            <w:tcW w:w="9004" w:type="dxa"/>
          </w:tcPr>
          <w:p>
            <w:pPr>
              <w:jc w:val="center"/>
              <w:ind w:left="851" w:right="3542"/>
              <w:rPr>
                <w:rFonts w:ascii="Times New Roman" w:hAnsi="Times New Roman"/>
                <w:caps w:val="1"/>
                <w:color w:val="000000"/>
              </w:rPr>
            </w:pPr>
            <w:r>
              <w:pict>
                <v:shape xmlns:v="urn:schemas-microsoft-com:vml" style="width:33.75pt;height:40.5pt">
                  <v:imagedata xmlns:o="urn:schemas-microsoft-com:office:office" xmlns:r="http://schemas.openxmlformats.org/officeDocument/2006/relationships" r:id="Relimage1" o:title=""/>
                </v:shape>
              </w:pict>
            </w:r>
          </w:p>
        </w:tc>
      </w:tr>
    </w:tbl>
    <w:p>
      <w:pPr>
        <w:jc w:val="center"/>
        <w:ind w:right="3413"/>
        <w:rPr>
          <w:rFonts w:ascii="Times New Roman" w:hAnsi="Times New Roman"/>
          <w:caps w:val="1"/>
          <w:color w:val="000000"/>
        </w:rPr>
      </w:pPr>
      <w:r>
        <w:rPr>
          <w:rFonts w:ascii="Times New Roman" w:hAnsi="Times New Roman"/>
          <w:caps w:val="1"/>
        </w:rPr>
        <w:t>Republika Hrvatska</w:t>
      </w:r>
      <w:bookmarkStart w:id="0" w:name="_GoBack"/>
      <w:bookmarkEnd w:id="0"/>
    </w:p>
    <w:p>
      <w:pPr>
        <w:jc w:val="center"/>
        <w:ind w:right="3413"/>
        <w:rPr>
          <w:rFonts w:ascii="Times New Roman" w:hAnsi="Times New Roman"/>
          <w:color w:val="000000"/>
        </w:rPr>
      </w:pPr>
      <w:r>
        <w:rPr>
          <w:rFonts w:ascii="Times New Roman" w:hAnsi="Times New Roman"/>
          <w:caps w:val="1"/>
        </w:rPr>
        <w:t>Grad Zagreb</w:t>
      </w:r>
    </w:p>
    <w:p>
      <w:pPr>
        <w:jc w:val="center"/>
        <w:ind w:right="3413"/>
        <w:rPr>
          <w:rFonts w:ascii="Times New Roman" w:hAnsi="Times New Roman"/>
          <w:sz w:val="22"/>
          <w:b w:val="1"/>
          <w:color w:val="000000"/>
        </w:rPr>
      </w:pPr>
      <w:r>
        <w:rPr>
          <w:rFonts w:ascii="Times New Roman" w:hAnsi="Times New Roman"/>
          <w:sz w:val="22"/>
          <w:b w:val="1"/>
        </w:rPr>
        <w:t>GRADSKI URED ZA PROSTORNO UREĐENJE, IZGRADNJU GRADA, GRADITELJSTVO, KOMUNALNE POSLOVE I PROMET</w:t>
      </w:r>
    </w:p>
    <w:p>
      <w:pPr>
        <w:jc w:val="center"/>
        <w:ind w:right="3403"/>
        <w:tabs>
          <w:tab w:val="left" w:pos="5954" w:leader="none"/>
        </w:tabs>
        <w:rPr>
          <w:rFonts w:ascii="Times New Roman" w:hAnsi="Times New Roman"/>
          <w:sz w:val="22"/>
          <w:color w:val="000000"/>
        </w:rPr>
      </w:pPr>
      <w:r>
        <w:rPr>
          <w:rFonts w:ascii="Times New Roman" w:hAnsi="Times New Roman"/>
          <w:sz w:val="22"/>
        </w:rPr>
        <w:t>Odjel za graditeljstvo</w:t>
      </w:r>
    </w:p>
    <w:p>
      <w:pPr>
        <w:jc w:val="center"/>
        <w:ind w:right="3403"/>
        <w:tabs>
          <w:tab w:val="left" w:pos="5954" w:leader="none"/>
        </w:tabs>
        <w:rPr>
          <w:rFonts w:ascii="Times New Roman" w:hAnsi="Times New Roman"/>
          <w:sz w:val="22"/>
          <w:color w:val="000000"/>
        </w:rPr>
      </w:pPr>
      <w:r>
        <w:rPr>
          <w:rFonts w:ascii="Times New Roman" w:hAnsi="Times New Roman"/>
          <w:sz w:val="22"/>
        </w:rPr>
        <w:t>Središnji odsjek za graditeljstvo</w:t>
      </w:r>
    </w:p>
    <w:p>
      <w:pPr>
        <w:jc w:val="center"/>
        <w:ind w:right="3403"/>
        <w:tabs>
          <w:tab w:val="left" w:pos="5954" w:leader="none"/>
        </w:tabs>
        <w:rPr>
          <w:rFonts w:ascii="Times New Roman" w:hAnsi="Times New Roman"/>
          <w:sz w:val="22"/>
          <w:color w:val="000000"/>
        </w:rPr>
      </w:pPr>
      <w:r>
        <w:rPr>
          <w:rFonts w:ascii="Times New Roman" w:hAnsi="Times New Roman"/>
          <w:sz w:val="22"/>
        </w:rPr>
        <w:t>Trg Stjepana Radića 1, Zagreb</w:t>
      </w:r>
    </w:p>
    <w:p>
      <w:pPr>
        <w:ind w:right="5386"/>
        <w:rPr>
          <w:rFonts w:ascii="Times New Roman" w:hAnsi="Times New Roman"/>
          <w:sz w:val="22"/>
          <w:color w:val="000000"/>
        </w:rPr>
      </w:pPr>
    </w:p>
    <w:p>
      <w:pPr>
        <w:ind w:right="5386"/>
        <w:rPr>
          <w:rFonts w:ascii="Times New Roman" w:hAnsi="Times New Roman"/>
          <w:sz w:val="22"/>
          <w:color w:val="000000"/>
        </w:rPr>
      </w:pPr>
      <w:r>
        <w:rPr>
          <w:rFonts w:ascii="Times New Roman" w:hAnsi="Times New Roman"/>
          <w:sz w:val="22"/>
        </w:rPr>
        <w:t>Klasa: UP/I 361-03/2014-010/190</w:t>
      </w:r>
    </w:p>
    <w:p>
      <w:pPr>
        <w:ind w:right="5386"/>
        <w:rPr>
          <w:rFonts w:ascii="Times New Roman" w:hAnsi="Times New Roman"/>
          <w:sz w:val="22"/>
          <w:color w:val="000000"/>
        </w:rPr>
      </w:pPr>
      <w:r>
        <w:rPr>
          <w:rFonts w:ascii="Times New Roman" w:hAnsi="Times New Roman"/>
          <w:sz w:val="22"/>
        </w:rPr>
        <w:t>Urbroj: 251-13-22/133-2014-4</w:t>
      </w:r>
    </w:p>
    <w:p>
      <w:pPr>
        <w:ind w:right="5386"/>
        <w:rPr>
          <w:rFonts w:ascii="Times New Roman" w:hAnsi="Times New Roman"/>
          <w:sz w:val="22"/>
          <w:color w:val="000000"/>
        </w:rPr>
      </w:pPr>
      <w:r>
        <w:rPr>
          <w:rFonts w:ascii="Times New Roman" w:hAnsi="Times New Roman"/>
          <w:sz w:val="22"/>
        </w:rPr>
        <w:t>Zagreb, 26.08.2014.</w:t>
      </w:r>
    </w:p>
    <w:p>
      <w:pPr>
        <w:jc w:val="both"/>
        <w:tabs>
          <w:tab w:val="center" w:pos="-3119" w:leader="none"/>
        </w:tabs>
        <w:rPr>
          <w:rFonts w:ascii="Times New Roman" w:hAnsi="Times New Roman"/>
          <w:sz w:val="22"/>
          <w:color w:val="000000"/>
        </w:rPr>
      </w:pPr>
    </w:p>
    <w:p>
      <w:pPr>
        <w:jc w:val="both"/>
        <w:tabs>
          <w:tab w:val="center" w:pos="1985" w:leader="none"/>
        </w:tabs>
        <w:rPr>
          <w:rFonts w:ascii="Times New Roman" w:hAnsi="Times New Roman"/>
          <w:sz w:val="22"/>
          <w:color w:val="000000"/>
        </w:rPr>
      </w:pPr>
    </w:p>
    <w:p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Gradski ured za prostorno uređenje, izgradnju Grada, graditeljstvo, komunalne poslove i promet, Odjel za graditeljstvo, Središnji odsjek za graditeljstvo, Trg Stjepana Radića 1, na temelju odredbe članka 115. st. 1. Zakona o gradnji (NN br. 153/2013) i odredbi članka 95. Zakona o općem upravnom postupku (NN br. 47/09), u predmetu izdavanja Građevinske dozvole po zahtjevu trgovačkog društva GOGS d.o.o. iz Zagreba, Maksimirska 128, zastupanog po Paunović Tatjani, dipl.ing.arh. iz trgovačkog društva PRO URBI d.o.o. iz Zagreba, Cvjetna cesta 7</w:t>
      </w:r>
    </w:p>
    <w:p>
      <w:pPr>
        <w:jc w:val="center"/>
        <w:rPr>
          <w:rFonts w:ascii="Times New Roman" w:hAnsi="Times New Roman"/>
          <w:sz w:val="22"/>
        </w:rPr>
      </w:pP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 O Z I V A</w:t>
      </w:r>
    </w:p>
    <w:p>
      <w:pPr>
        <w:jc w:val="both"/>
        <w:rPr>
          <w:rFonts w:ascii="Times New Roman" w:hAnsi="Times New Roman"/>
          <w:sz w:val="22"/>
        </w:rPr>
      </w:pPr>
    </w:p>
    <w:p>
      <w:pPr>
        <w:jc w:val="both"/>
        <w:rPr>
          <w:rFonts w:ascii="Times New Roman" w:hAnsi="Times New Roman"/>
          <w:sz w:val="22"/>
        </w:rPr>
      </w:pPr>
    </w:p>
    <w:p>
      <w:pPr>
        <w:jc w:val="both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Vlasnike i nositelje drugih stvarnih prava na k.č.br. 995/4, 995/3, 995/1, 967/9 i 967/1 sve k.o. Pešćenica, da izvrše uvid u Glavni projekt, ZOP 15/14, izrađenom po trgovačkom društvu PRO URBI d.o.o. iz Zagreba, Maksimirska 128, za dovršenje roh-bau poslovnog prostora oznake PP16, radi obavljanja djelatnosti - ured u prizemlju stambeno – poslovne građevine,</w:t>
      </w:r>
      <w:r>
        <w:rPr>
          <w:rFonts w:ascii="Times New Roman" w:hAnsi="Times New Roman"/>
          <w:sz w:val="22"/>
          <w:b w:val="1"/>
        </w:rPr>
        <w:t xml:space="preserve"> </w:t>
      </w:r>
      <w:r>
        <w:rPr>
          <w:rFonts w:ascii="Times New Roman" w:hAnsi="Times New Roman"/>
          <w:sz w:val="22"/>
        </w:rPr>
        <w:t>izgrađene na k.č.br. 995/4, k.o. Pešćenica, IV Maksimirsko naselje 31.</w:t>
      </w:r>
    </w:p>
    <w:p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</w:t>
      </w:r>
    </w:p>
    <w:p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Uvid u Glavni projekt može se izvršiti osobno ili putem punomoćenika dana 09.09.2014. godine u vremenu od 10,00 do 11,00 sati u prostorijama Gradskog ureda, Zagreb, Trg Stjepana Radića 1, soba 114/I kat.</w:t>
      </w:r>
    </w:p>
    <w:p>
      <w:pPr>
        <w:jc w:val="both"/>
        <w:rPr>
          <w:rFonts w:ascii="Times New Roman" w:hAnsi="Times New Roman"/>
          <w:sz w:val="22"/>
        </w:rPr>
      </w:pPr>
    </w:p>
    <w:p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Osobe koje se odazovu pozivu dužne su donijeti ispravu kojom dokazuju vlasništvo predmetne nekretnine.</w:t>
      </w:r>
    </w:p>
    <w:p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Neodazivanje ovom pozivu ne sprečava izdavanje Građevinske dozvole.</w:t>
      </w:r>
    </w:p>
    <w:p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</w:t>
      </w:r>
    </w:p>
    <w:p>
      <w:pPr>
        <w:jc w:val="center"/>
        <w:ind w:firstLine="5476"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Upravni referent za graditeljstvo</w:t>
      </w:r>
    </w:p>
    <w:p>
      <w:pPr>
        <w:jc w:val="center"/>
        <w:ind w:firstLine="5476" w:left="0"/>
        <w:rPr>
          <w:rFonts w:ascii="Times New Roman" w:hAnsi="Times New Roman"/>
          <w:sz w:val="22"/>
        </w:rPr>
      </w:pPr>
    </w:p>
    <w:p>
      <w:pPr>
        <w:jc w:val="center"/>
        <w:ind w:firstLine="5476" w:left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Darija Leko, dipl.ing.građ.</w:t>
      </w:r>
    </w:p>
    <w:p>
      <w:pPr>
        <w:jc w:val="both"/>
        <w:rPr>
          <w:rFonts w:ascii="Times New Roman" w:hAnsi="Times New Roman"/>
          <w:sz w:val="22"/>
        </w:rPr>
      </w:pPr>
    </w:p>
    <w:p>
      <w:pPr>
        <w:jc w:val="both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D o s t a v i t i:</w:t>
      </w:r>
    </w:p>
    <w:p>
      <w:pPr>
        <w:jc w:val="both"/>
        <w:ind w:left="396"/>
        <w:tabs>
          <w:tab w:val="left" w:pos="720" w:leader="none"/>
        </w:tabs>
        <w:rPr>
          <w:rFonts w:ascii="Times New Roman" w:hAnsi="Times New Roman"/>
          <w:sz w:val="22"/>
        </w:rPr>
        <w:numPr>
          <w:ilvl w:val="0"/>
          <w:numId w:val="1"/>
        </w:numPr>
      </w:pPr>
      <w:r>
        <w:rPr>
          <w:rFonts w:ascii="Times New Roman" w:hAnsi="Times New Roman"/>
          <w:sz w:val="22"/>
          <w:b w:val="1"/>
        </w:rPr>
        <w:t>Oglasna ploča 8 dana</w:t>
      </w:r>
      <w:r>
        <w:rPr>
          <w:rFonts w:ascii="Times New Roman" w:hAnsi="Times New Roman"/>
          <w:sz w:val="22"/>
        </w:rPr>
        <w:t>, ovdje;</w:t>
      </w:r>
    </w:p>
    <w:p>
      <w:pPr>
        <w:jc w:val="both"/>
        <w:ind w:left="396"/>
        <w:tabs>
          <w:tab w:val="left" w:pos="720" w:leader="none"/>
        </w:tabs>
        <w:rPr>
          <w:rFonts w:ascii="Times New Roman" w:hAnsi="Times New Roman"/>
          <w:sz w:val="22"/>
        </w:rPr>
        <w:numPr>
          <w:ilvl w:val="0"/>
          <w:numId w:val="1"/>
        </w:numPr>
      </w:pPr>
      <w:r>
        <w:rPr>
          <w:rFonts w:ascii="Times New Roman" w:hAnsi="Times New Roman"/>
          <w:sz w:val="22"/>
          <w:b w:val="1"/>
        </w:rPr>
        <w:t>Mrežne stranice;</w:t>
      </w:r>
    </w:p>
    <w:p>
      <w:pPr>
        <w:jc w:val="both"/>
        <w:ind w:left="396"/>
        <w:tabs>
          <w:tab w:val="left" w:pos="720" w:leader="none"/>
        </w:tabs>
        <w:rPr>
          <w:rFonts w:ascii="Times New Roman" w:hAnsi="Times New Roman"/>
          <w:sz w:val="22"/>
        </w:rPr>
        <w:numPr>
          <w:ilvl w:val="0"/>
          <w:numId w:val="1"/>
        </w:numPr>
      </w:pPr>
      <w:r>
        <w:rPr>
          <w:rFonts w:ascii="Times New Roman" w:hAnsi="Times New Roman"/>
          <w:sz w:val="22"/>
          <w:b w:val="1"/>
        </w:rPr>
        <w:t>Na građevnoj čestici/građevini</w:t>
      </w:r>
      <w:r>
        <w:rPr>
          <w:rFonts w:ascii="Times New Roman" w:hAnsi="Times New Roman"/>
          <w:sz w:val="22"/>
        </w:rPr>
        <w:t>, Zagreb, IV Maksimirsko nasealje 31;</w:t>
      </w:r>
    </w:p>
    <w:p>
      <w:pPr>
        <w:jc w:val="both"/>
        <w:ind w:left="396"/>
        <w:tabs>
          <w:tab w:val="left" w:pos="720" w:leader="none"/>
        </w:tabs>
        <w:rPr>
          <w:rFonts w:ascii="Times New Roman" w:hAnsi="Times New Roman"/>
          <w:sz w:val="22"/>
          <w:i w:val="1"/>
          <w:color w:val="000000"/>
        </w:rPr>
        <w:numPr>
          <w:ilvl w:val="0"/>
          <w:numId w:val="1"/>
        </w:numPr>
      </w:pPr>
      <w:r>
        <w:rPr>
          <w:rFonts w:ascii="Times New Roman" w:hAnsi="Times New Roman"/>
          <w:sz w:val="22"/>
          <w:b w:val="1"/>
        </w:rPr>
        <w:t>Pismohrana</w:t>
      </w:r>
      <w:r>
        <w:rPr>
          <w:rFonts w:ascii="Times New Roman" w:hAnsi="Times New Roman"/>
          <w:sz w:val="22"/>
        </w:rPr>
        <w:t xml:space="preserve"> – ovdje.</w:t>
      </w:r>
    </w:p>
    <w:sectPr>
      <w:type w:val="nextPage"/>
      <w:titlePg w:val="1"/>
      <w:pgMar w:left="1417" w:right="1417" w:top="1417" w:bottom="1417" w:header="720" w:footer="720"/>
      <w:cols w:equalWidth="1" w:space="720"/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</w:sectPr>
  </w:body>
</w:document>
</file>

<file path=word/footer1.xml><?xml version="1.0" encoding="utf-8"?>
<w:ftr xmlns:w="http://schemas.openxmlformats.org/wordprocessingml/2006/main">
  <w:p>
    <w:pPr>
      <w:jc w:val="center"/>
    </w:pPr>
    <w:r>
      <w:fldChar w:fldCharType="begin"/>
    </w:r>
    <w:r>
      <w:t>PAGE</w:t>
    </w:r>
    <w:r>
      <w:fldChar w:fldCharType="separate"/>
    </w:r>
    <w:r>
      <w:t>#</w:t>
    </w:r>
    <w:r>
      <w:fldChar w:fldCharType="end"/>
    </w:r>
  </w:p>
</w:ftr>
</file>

<file path=word/header1.xml><?xml version="1.0" encoding="utf-8"?>
<w:hdr xmlns:w="http://schemas.openxmlformats.org/wordprocessingml/2006/main">
  <w:p>
    <w:pPr>
      <w:jc w:val="right"/>
    </w:pPr>
    <w:r>
      <w:t>UP/I 361-03/2014-010/190</w:t>
    </w:r>
  </w:p>
</w:hdr>
</file>

<file path=word/numbering.xml><?xml version="1.0" encoding="utf-8"?>
<w:numbering xmlns:w="http://schemas.openxmlformats.org/wordprocessingml/2006/main">
  <w:abstractNum w:abstractNumId="0">
    <w:nsid w:val="7C9F3C49"/>
    <w:multiLevelType w:val="multilevel"/>
    <w:lvl w:ilvl="0">
      <w:pPr>
        <w:ind w:hanging="360" w:left="720"/>
      </w:pPr>
      <w:rPr>
        <w:rFonts w:ascii="Times New Roman" w:hAnsi="Times New Roman"/>
        <w:color w:val="000000"/>
      </w:rPr>
      <w:lvlJc w:val="left"/>
      <w:start w:val="1"/>
      <w:numFmt w:val="decimal"/>
      <w:lvlText w:val="%1."/>
      <w:suff w:val="tab"/>
    </w:lvl>
    <w:lvl w:ilvl="1">
      <w:pPr>
        <w:ind w:hanging="360" w:left="1440"/>
      </w:pPr>
      <w:rPr>
        <w:rFonts w:ascii="Times New Roman" w:hAnsi="Times New Roman"/>
        <w:color w:val="000000"/>
      </w:rPr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>
        <w:rFonts w:ascii="Times New Roman" w:hAnsi="Times New Roman"/>
        <w:color w:val="000000"/>
      </w:rPr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>
        <w:rFonts w:ascii="Times New Roman" w:hAnsi="Times New Roman"/>
        <w:color w:val="000000"/>
      </w:rPr>
      <w:lvlJc w:val="left"/>
      <w:start w:val="1"/>
      <w:numFmt w:val="decimal"/>
      <w:lvlText w:val="%4."/>
      <w:suff w:val="tab"/>
    </w:lvl>
    <w:lvl w:ilvl="4">
      <w:pPr>
        <w:ind w:hanging="360" w:left="3600"/>
      </w:pPr>
      <w:rPr>
        <w:rFonts w:ascii="Times New Roman" w:hAnsi="Times New Roman"/>
        <w:color w:val="000000"/>
      </w:rPr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>
        <w:rFonts w:ascii="Times New Roman" w:hAnsi="Times New Roman"/>
        <w:color w:val="000000"/>
      </w:rPr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>
        <w:rFonts w:ascii="Times New Roman" w:hAnsi="Times New Roman"/>
        <w:color w:val="000000"/>
      </w:rPr>
      <w:lvlJc w:val="left"/>
      <w:start w:val="1"/>
      <w:numFmt w:val="decimal"/>
      <w:lvlText w:val="%7."/>
      <w:suff w:val="tab"/>
    </w:lvl>
    <w:lvl w:ilvl="7">
      <w:pPr>
        <w:ind w:hanging="360" w:left="5760"/>
      </w:pPr>
      <w:rPr>
        <w:rFonts w:ascii="Times New Roman" w:hAnsi="Times New Roman"/>
        <w:color w:val="000000"/>
      </w:rPr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>
        <w:rFonts w:ascii="Times New Roman" w:hAnsi="Times New Roman"/>
        <w:color w:val="000000"/>
      </w:rPr>
      <w:lvlJc w:val="right"/>
      <w:start w:val="1"/>
      <w:numFmt w:val="lowerRoman"/>
      <w:lvlText w:val="%9."/>
      <w:suff w:val="tab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autoHyphenation w:val="0"/>
  <w:defaultTabStop w:val="720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2"/>
        <w:b w:val="0"/>
        <w:i w:val="0"/>
        <w:caps w:val="0"/>
        <w:color w:val="000000"/>
        <w:highlight w:val="none"/>
        <w:vanish w:val="0"/>
        <w:u w:val="none"/>
        <w:strike w:val="0"/>
        <w:vertAlign w:val="baseline"/>
      </w:rPr>
    </w:rPrDefault>
    <w:pPrDefault>
      <w:pPr>
        <w:jc w:val="left"/>
        <w:spacing w:lineRule="auto" w:line="240" w:before="0" w:after="200"/>
        <w:ind w:left="0" w:right="0"/>
        <w:suppressAutoHyphens w:val="0"/>
        <w:suppressLineNumbers w:val="0"/>
      </w:pPr>
    </w:pPrDefault>
  </w:docDefaults>
  <w:style w:type="paragraph" w:styleId="P0" w:default="1">
    <w:name w:val="Normal"/>
    <w:pPr>
      <w:spacing w:lineRule="auto" w:line="240" w:after="0"/>
    </w:pPr>
    <w:rPr>
      <w:rFonts w:ascii="Times CRO" w:hAnsi="Times CRO"/>
      <w:sz w:val="24"/>
      <w:color w:val="000000"/>
    </w:rPr>
  </w:style>
  <w:style w:type="paragraph" w:styleId="P1">
    <w:name w:val="Balloon Text"/>
    <w:basedOn w:val="P0"/>
    <w:link w:val="C3"/>
    <w:pPr/>
    <w:rPr>
      <w:rFonts w:ascii="Tahoma" w:hAnsi="Tahoma"/>
      <w:sz w:val="16"/>
    </w:rPr>
  </w:style>
  <w:style w:type="character" w:styleId="C0" w:default="1">
    <w:name w:val="Default Paragraph Font"/>
    <w:semiHidden w:val="1"/>
    <w:rPr/>
  </w:style>
  <w:style w:type="character" w:styleId="C1">
    <w:name w:val="Line Number"/>
    <w:basedOn w:val="C0"/>
    <w:semiHidden w:val="1"/>
    <w:rPr/>
  </w:style>
  <w:style w:type="character" w:styleId="C2">
    <w:name w:val="Hyperlink"/>
    <w:basedOn w:val="C0"/>
    <w:rPr>
      <w:sz w:val="24"/>
      <w:color w:val="0000FF"/>
      <w:u w:val="single"/>
    </w:rPr>
  </w:style>
  <w:style w:type="character" w:styleId="C3">
    <w:name w:val="Balloon Text Char"/>
    <w:basedOn w:val="C0"/>
    <w:link w:val="P1"/>
    <w:rPr>
      <w:rFonts w:ascii="Tahoma" w:hAnsi="Tahoma"/>
      <w:sz w:val="16"/>
    </w:rPr>
  </w:style>
  <w:style w:type="character" w:styleId="C4">
    <w:name w:val="line number"/>
    <w:basedOn w:val="C0"/>
    <w:rPr>
      <w:sz w:val="24"/>
      <w:color w:val="000000"/>
    </w:rPr>
  </w:style>
  <w:style w:type="table" w:styleId="T0" w:default="1">
    <w:name w:val="Normal Table"/>
    <w:tblPr/>
  </w:style>
  <w:style w:type="table" w:styleId="T1">
    <w:name w:val="Table Simple 1"/>
    <w:basedOn w:val="T0"/>
    <w:tbl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